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Advances in Traditional Medicine</w:t>
      </w:r>
    </w:p>
    <w:p>
      <w:pPr>
        <w:spacing w:after="0" w:line="31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https://doi.org/10.1007/s13596-020-00475-1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85725</wp:posOffset>
                </wp:positionV>
                <wp:extent cx="6264275" cy="0"/>
                <wp:wrapNone/>
                <wp:docPr id="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" o:spid="_x0000_s102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6.75pt" to="494.25pt,6.7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92710</wp:posOffset>
                </wp:positionV>
                <wp:extent cx="3024505" cy="239395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05" cy="239395"/>
                        </a:xfrm>
                        <a:prstGeom prst="rect">
                          <a:avLst/>
                        </a:prstGeom>
                        <a:solidFill>
                          <a:srgbClr val="C5C6C6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" o:spid="_x0000_s1027" style="position:absolute;margin-left:1pt;margin-top:7.3pt;width:238.15pt;height:18.8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C5C6C6" stroked="f"/>
            </w:pict>
          </mc:Fallback>
        </mc:AlternateContent>
      </w:r>
    </w:p>
    <w:p>
      <w:pPr>
        <w:spacing w:after="0" w:line="199" w:lineRule="exact"/>
        <w:rPr>
          <w:sz w:val="24"/>
          <w:szCs w:val="24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RESEARCH ARTICLE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5913755</wp:posOffset>
            </wp:positionH>
            <wp:positionV relativeFrom="paragraph">
              <wp:posOffset>-111760</wp:posOffset>
            </wp:positionV>
            <wp:extent cx="362585" cy="3632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01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color w:val="auto"/>
        </w:rPr>
        <w:t>,</w:t>
      </w:r>
    </w:p>
    <w:p>
      <w:pPr>
        <w:spacing w:after="0" w:line="320" w:lineRule="exact"/>
        <w:rPr>
          <w:sz w:val="24"/>
          <w:szCs w:val="24"/>
          <w:color w:val="auto"/>
        </w:rPr>
      </w:pPr>
    </w:p>
    <w:p>
      <w:pPr>
        <w:ind w:left="20"/>
        <w:spacing w:after="0" w:line="288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>Noor Muhammad</w:t>
      </w:r>
      <w:r>
        <w:rPr>
          <w:rFonts w:ascii="Arial" w:cs="Arial" w:eastAsia="Arial" w:hAnsi="Arial"/>
          <w:sz w:val="25"/>
          <w:szCs w:val="25"/>
          <w:b w:val="1"/>
          <w:bCs w:val="1"/>
          <w:color w:val="auto"/>
          <w:vertAlign w:val="superscript"/>
        </w:rPr>
        <w:t>1</w:t>
      </w:r>
      <w:r>
        <w:rPr>
          <w:sz w:val="1"/>
          <w:szCs w:val="1"/>
          <w:color w:val="auto"/>
        </w:rPr>
        <w:drawing>
          <wp:inline distT="0" distB="0" distL="0" distR="0">
            <wp:extent cx="106045" cy="106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" cy="1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 xml:space="preserve"> · Nisar Uddin</w:t>
      </w:r>
      <w:r>
        <w:rPr>
          <w:rFonts w:ascii="Arial" w:cs="Arial" w:eastAsia="Arial" w:hAnsi="Arial"/>
          <w:sz w:val="25"/>
          <w:szCs w:val="25"/>
          <w:b w:val="1"/>
          <w:bCs w:val="1"/>
          <w:color w:val="auto"/>
          <w:vertAlign w:val="superscript"/>
        </w:rPr>
        <w:t>2</w:t>
      </w: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 xml:space="preserve"> · Muhammad Khalil Ullah Khan</w:t>
      </w:r>
      <w:r>
        <w:rPr>
          <w:rFonts w:ascii="Arial" w:cs="Arial" w:eastAsia="Arial" w:hAnsi="Arial"/>
          <w:sz w:val="25"/>
          <w:szCs w:val="25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 xml:space="preserve"> · Muhammad Umer</w:t>
      </w:r>
      <w:r>
        <w:rPr>
          <w:rFonts w:ascii="Arial" w:cs="Arial" w:eastAsia="Arial" w:hAnsi="Arial"/>
          <w:sz w:val="25"/>
          <w:szCs w:val="25"/>
          <w:b w:val="1"/>
          <w:bCs w:val="1"/>
          <w:color w:val="auto"/>
          <w:vertAlign w:val="superscript"/>
        </w:rPr>
        <w:t>4</w:t>
      </w: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 xml:space="preserve"> · Niaz Ali</w:t>
      </w:r>
      <w:r>
        <w:rPr>
          <w:rFonts w:ascii="Arial" w:cs="Arial" w:eastAsia="Arial" w:hAnsi="Arial"/>
          <w:sz w:val="25"/>
          <w:szCs w:val="25"/>
          <w:b w:val="1"/>
          <w:bCs w:val="1"/>
          <w:color w:val="auto"/>
          <w:vertAlign w:val="superscript"/>
        </w:rPr>
        <w:t>2</w:t>
      </w: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 xml:space="preserve"> · Shariat Ullah</w:t>
      </w:r>
      <w:r>
        <w:rPr>
          <w:rFonts w:ascii="Arial" w:cs="Arial" w:eastAsia="Arial" w:hAnsi="Arial"/>
          <w:sz w:val="25"/>
          <w:szCs w:val="25"/>
          <w:b w:val="1"/>
          <w:bCs w:val="1"/>
          <w:color w:val="auto"/>
          <w:vertAlign w:val="superscript"/>
        </w:rPr>
        <w:t>3</w:t>
      </w:r>
    </w:p>
    <w:p>
      <w:pPr>
        <w:spacing w:after="0" w:line="343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Received: 6 April 2020 / Accepted: 18 June 2020</w:t>
      </w:r>
    </w:p>
    <w:p>
      <w:pPr>
        <w:spacing w:after="0" w:line="4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© Institute of Korean Medicine, Kyung Hee University 2020</w:t>
      </w:r>
    </w:p>
    <w:p>
      <w:pPr>
        <w:spacing w:after="0" w:line="349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Abstract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13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indicaAjuga bracteosa</w:t>
      </w:r>
    </w:p>
    <w:p>
      <w:pPr>
        <w:spacing w:after="0" w:line="20" w:lineRule="exact"/>
        <w:rPr>
          <w:sz w:val="24"/>
          <w:szCs w:val="24"/>
          <w:color w:val="auto"/>
        </w:rPr>
      </w:pPr>
    </w:p>
    <w:p>
      <w:pPr>
        <w:ind w:left="20" w:right="680" w:firstLine="9"/>
        <w:spacing w:after="0" w:line="26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A. indica A. bracteosa Ajuga niponsisAllium cepa</w:t>
      </w:r>
    </w:p>
    <w:p>
      <w:pPr>
        <w:spacing w:after="0" w:line="251" w:lineRule="exact"/>
        <w:rPr>
          <w:sz w:val="24"/>
          <w:szCs w:val="24"/>
          <w:color w:val="auto"/>
        </w:rPr>
      </w:pPr>
    </w:p>
    <w:p>
      <w:pPr>
        <w:ind w:left="3740"/>
        <w:spacing w:after="0"/>
        <w:tabs>
          <w:tab w:leader="none" w:pos="62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9"/>
          <w:szCs w:val="19"/>
          <w:i w:val="1"/>
          <w:iCs w:val="1"/>
          <w:color w:val="auto"/>
        </w:rPr>
        <w:t>A. bracteosa.</w:t>
      </w:r>
    </w:p>
    <w:p>
      <w:pPr>
        <w:spacing w:after="0" w:line="20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A. indicaAnesthetics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37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Introduction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1453515</wp:posOffset>
                </wp:positionV>
                <wp:extent cx="3023870" cy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38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" o:spid="_x0000_s103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114.45pt" to="239.1pt,114.45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3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Wingdings" w:cs="Wingdings" w:eastAsia="Wingdings" w:hAnsi="Wingdings"/>
          <w:sz w:val="17"/>
          <w:szCs w:val="17"/>
          <w:b w:val="1"/>
          <w:bCs w:val="1"/>
          <w:color w:val="auto"/>
        </w:rPr>
        <w:t>*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70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12700</wp:posOffset>
            </wp:positionH>
            <wp:positionV relativeFrom="paragraph">
              <wp:posOffset>-189230</wp:posOffset>
            </wp:positionV>
            <wp:extent cx="1676400" cy="13716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5817" w:orient="portrait"/>
          <w:cols w:equalWidth="0" w:num="1">
            <w:col w:w="9880"/>
          </w:cols>
          <w:pgMar w:left="1000" w:top="642" w:right="1026" w:bottom="213" w:gutter="0" w:footer="0" w:header="0"/>
        </w:sectPr>
      </w:pPr>
    </w:p>
    <w:bookmarkStart w:id="1" w:name="page2"/>
    <w:bookmarkEnd w:id="1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" o:spid="_x0000_s103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Materials and methods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Study site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Statistical analysis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right"/>
        <w:ind w:right="3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U</w:t>
      </w:r>
      <w:r>
        <w:rPr>
          <w:rFonts w:ascii="Arial" w:cs="Arial" w:eastAsia="Arial" w:hAnsi="Arial"/>
          <w:sz w:val="14"/>
          <w:szCs w:val="14"/>
          <w:color w:val="auto"/>
        </w:rPr>
        <w:t>VI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= </w:t>
      </w: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>Σ</w:t>
      </w: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>U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3601720</wp:posOffset>
            </wp:positionH>
            <wp:positionV relativeFrom="paragraph">
              <wp:posOffset>-37465</wp:posOffset>
            </wp:positionV>
            <wp:extent cx="206375" cy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392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N</w:t>
      </w:r>
      <w:r>
        <w:rPr>
          <w:rFonts w:ascii="Arial" w:cs="Arial" w:eastAsia="Arial" w:hAnsi="Arial"/>
          <w:sz w:val="14"/>
          <w:szCs w:val="14"/>
          <w:color w:val="auto"/>
        </w:rPr>
        <w:t>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right"/>
        <w:ind w:right="3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RFC</w:t>
      </w:r>
      <w:r>
        <w:rPr>
          <w:rFonts w:ascii="Arial" w:cs="Arial" w:eastAsia="Arial" w:hAnsi="Arial"/>
          <w:sz w:val="17"/>
          <w:szCs w:val="17"/>
          <w:color w:val="auto"/>
        </w:rPr>
        <w:t>S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= </w:t>
      </w: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>FC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3700145</wp:posOffset>
            </wp:positionH>
            <wp:positionV relativeFrom="paragraph">
              <wp:posOffset>-37465</wp:posOffset>
            </wp:positionV>
            <wp:extent cx="155575" cy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right"/>
        <w:ind w:right="384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N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T,…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CCI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CI= 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N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×100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-33655</wp:posOffset>
                </wp:positionV>
                <wp:extent cx="92075" cy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45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" o:spid="_x0000_s103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3.3pt,-2.6499pt" to="30.55pt,-2.6499pt" o:allowincell="f" strokecolor="#000000" strokeweight="0.666pt"/>
            </w:pict>
          </mc:Fallback>
        </mc:AlternateContent>
      </w:r>
    </w:p>
    <w:p>
      <w:pPr>
        <w:ind w:left="46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 xml:space="preserve">FL (%) = </w:t>
      </w:r>
      <w:r>
        <w:rPr>
          <w:rFonts w:ascii="Arial" w:cs="Arial" w:eastAsia="Arial" w:hAnsi="Arial"/>
          <w:sz w:val="35"/>
          <w:szCs w:val="35"/>
          <w:i w:val="1"/>
          <w:iCs w:val="1"/>
          <w:color w:val="auto"/>
          <w:vertAlign w:val="superscript"/>
        </w:rPr>
        <w:t>I</w:t>
      </w:r>
      <w:r>
        <w:rPr>
          <w:rFonts w:ascii="Arial" w:cs="Arial" w:eastAsia="Arial" w:hAnsi="Arial"/>
          <w:sz w:val="30"/>
          <w:szCs w:val="30"/>
          <w:i w:val="1"/>
          <w:iCs w:val="1"/>
          <w:color w:val="auto"/>
          <w:vertAlign w:val="superscript"/>
        </w:rPr>
        <w:t>P</w:t>
      </w:r>
      <w:r>
        <w:rPr>
          <w:rFonts w:ascii="Arial" w:cs="Arial" w:eastAsia="Arial" w:hAnsi="Arial"/>
          <w:sz w:val="18"/>
          <w:szCs w:val="18"/>
          <w:color w:val="auto"/>
        </w:rPr>
        <w:t xml:space="preserve"> × 100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-37465</wp:posOffset>
                </wp:positionV>
                <wp:extent cx="106680" cy="0"/>
                <wp:wrapNone/>
                <wp:docPr id="11" name="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45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" o:spid="_x0000_s103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0.95pt,-2.9499pt" to="49.35pt,-2.9499pt" o:allowincell="f" strokecolor="#000000" strokeweight="0.666pt"/>
            </w:pict>
          </mc:Fallback>
        </mc:AlternateContent>
      </w:r>
    </w:p>
    <w:p>
      <w:pPr>
        <w:ind w:left="82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I</w:t>
      </w:r>
      <w:r>
        <w:rPr>
          <w:rFonts w:ascii="Arial" w:cs="Arial" w:eastAsia="Arial" w:hAnsi="Arial"/>
          <w:sz w:val="16"/>
          <w:szCs w:val="16"/>
          <w:i w:val="1"/>
          <w:iCs w:val="1"/>
          <w:color w:val="auto"/>
        </w:rPr>
        <w:t>U</w:t>
      </w:r>
    </w:p>
    <w:p>
      <w:pPr>
        <w:spacing w:after="0" w:line="14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Ip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Iu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-3237865</wp:posOffset>
            </wp:positionH>
            <wp:positionV relativeFrom="paragraph">
              <wp:posOffset>-4269105</wp:posOffset>
            </wp:positionV>
            <wp:extent cx="6264275" cy="35521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355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14"/>
          <w:szCs w:val="14"/>
          <w:color w:val="auto"/>
        </w:rPr>
        <w:t>UR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− N</w:t>
      </w:r>
      <w:r>
        <w:rPr>
          <w:rFonts w:ascii="Arial" w:cs="Arial" w:eastAsia="Arial" w:hAnsi="Arial"/>
          <w:sz w:val="17"/>
          <w:szCs w:val="17"/>
          <w:color w:val="auto"/>
        </w:rPr>
        <w:t>T</w:t>
      </w:r>
    </w:p>
    <w:p>
      <w:pPr>
        <w:spacing w:after="0" w:line="1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FIC =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370840</wp:posOffset>
            </wp:positionH>
            <wp:positionV relativeFrom="paragraph">
              <wp:posOffset>-35560</wp:posOffset>
            </wp:positionV>
            <wp:extent cx="466725" cy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4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14"/>
          <w:szCs w:val="14"/>
          <w:color w:val="auto"/>
        </w:rPr>
        <w:t>UR</w:t>
      </w:r>
      <w:r>
        <w:rPr>
          <w:rFonts w:ascii="Arial" w:cs="Arial" w:eastAsia="Arial" w:hAnsi="Arial"/>
          <w:sz w:val="20"/>
          <w:szCs w:val="20"/>
          <w:color w:val="auto"/>
        </w:rPr>
        <w:t>−1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Results and discussion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Demographic 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4380" w:space="720"/>
            <w:col w:w="4760"/>
          </w:cols>
          <w:pgMar w:left="102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3" w:name="page4"/>
    <w:bookmarkEnd w:id="3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5"/>
        </w:trPr>
        <w:tc>
          <w:tcPr>
            <w:tcW w:w="56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\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N. Muhammad et al.</w:t>
            </w:r>
          </w:p>
        </w:tc>
      </w:tr>
      <w:tr>
        <w:trPr>
          <w:trHeight w:val="65"/>
        </w:trPr>
        <w:tc>
          <w:tcPr>
            <w:tcW w:w="824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</w:tr>
      <w:tr>
        <w:trPr>
          <w:trHeight w:val="421"/>
        </w:trPr>
        <w:tc>
          <w:tcPr>
            <w:tcW w:w="8240" w:type="dxa"/>
            <w:vAlign w:val="bottom"/>
            <w:gridSpan w:val="2"/>
          </w:tcPr>
          <w:p>
            <w:pPr>
              <w:ind w:left="5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bracteosaAjuga niponsisAllium cepa</w:t>
            </w:r>
          </w:p>
        </w:tc>
        <w:tc>
          <w:tcPr>
            <w:tcW w:w="1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50"/>
        </w:trPr>
        <w:tc>
          <w:tcPr>
            <w:tcW w:w="5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Allium sativumAloe vera</w:t>
            </w:r>
          </w:p>
        </w:tc>
        <w:tc>
          <w:tcPr>
            <w:tcW w:w="1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250"/>
        </w:trPr>
        <w:tc>
          <w:tcPr>
            <w:tcW w:w="5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Amaranthus spinosus</w:t>
            </w:r>
          </w:p>
        </w:tc>
        <w:tc>
          <w:tcPr>
            <w:tcW w:w="16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, Amarnthus viridis</w:t>
            </w:r>
          </w:p>
        </w:tc>
      </w:tr>
      <w:tr>
        <w:trPr>
          <w:trHeight w:val="250"/>
        </w:trPr>
        <w:tc>
          <w:tcPr>
            <w:tcW w:w="5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220" w:type="dxa"/>
            <w:vAlign w:val="bottom"/>
            <w:gridSpan w:val="2"/>
          </w:tcPr>
          <w:p>
            <w:pPr>
              <w:jc w:val="right"/>
              <w:ind w:right="12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Arthimesa dubiaArtimisa scoporia</w:t>
            </w:r>
          </w:p>
        </w:tc>
      </w:tr>
      <w:tr>
        <w:trPr>
          <w:trHeight w:val="250"/>
        </w:trPr>
        <w:tc>
          <w:tcPr>
            <w:tcW w:w="8240" w:type="dxa"/>
            <w:vAlign w:val="bottom"/>
            <w:gridSpan w:val="2"/>
          </w:tcPr>
          <w:p>
            <w:pPr>
              <w:ind w:left="5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Asparagus gliciusAvena sativaBarber</w:t>
            </w:r>
          </w:p>
        </w:tc>
        <w:tc>
          <w:tcPr>
            <w:tcW w:w="16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-</w:t>
            </w:r>
          </w:p>
        </w:tc>
      </w:tr>
      <w:tr>
        <w:trPr>
          <w:trHeight w:val="250"/>
        </w:trPr>
        <w:tc>
          <w:tcPr>
            <w:tcW w:w="9860" w:type="dxa"/>
            <w:vAlign w:val="bottom"/>
            <w:gridSpan w:val="3"/>
          </w:tcPr>
          <w:p>
            <w:pPr>
              <w:ind w:left="5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ries lyciumCalotropis proceraCapsicum</w:t>
            </w:r>
          </w:p>
        </w:tc>
      </w:tr>
      <w:tr>
        <w:trPr>
          <w:trHeight w:val="250"/>
        </w:trPr>
        <w:tc>
          <w:tcPr>
            <w:tcW w:w="8240" w:type="dxa"/>
            <w:vAlign w:val="bottom"/>
            <w:gridSpan w:val="2"/>
          </w:tcPr>
          <w:p>
            <w:pPr>
              <w:ind w:left="5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annumCarthamus oxycanthaCarum</w:t>
            </w:r>
          </w:p>
        </w:tc>
        <w:tc>
          <w:tcPr>
            <w:tcW w:w="1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250"/>
        </w:trPr>
        <w:tc>
          <w:tcPr>
            <w:tcW w:w="5640" w:type="dxa"/>
            <w:vAlign w:val="bottom"/>
          </w:tcPr>
          <w:p>
            <w:pPr>
              <w:ind w:left="5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carvi</w:t>
            </w:r>
          </w:p>
        </w:tc>
        <w:tc>
          <w:tcPr>
            <w:tcW w:w="260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Cedrela serrata</w:t>
            </w:r>
          </w:p>
        </w:tc>
        <w:tc>
          <w:tcPr>
            <w:tcW w:w="16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Cedrus deo-</w:t>
            </w:r>
          </w:p>
        </w:tc>
      </w:tr>
    </w:tbl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daraCenabis sativaChenopodium ambro-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sioidesChenopodum albumCichorium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intybus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bracteosa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niponsisAllium cepaAllium sati-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vumAloe veraAmaran-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thus spinosusAmarnthus viridisArthimesa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dubiaArtimisa scoporiaAsparagus glicius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720"/>
        <w:spacing w:after="0"/>
        <w:tabs>
          <w:tab w:leader="none" w:pos="2520" w:val="left"/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Avena sativa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Barberries lycium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Ziziphus sativa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Calotropis proceraCapsicum annum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Carthamus oxycanthaCarum carviCedrela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serrataCedrus deodaraCenabis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1180" w:val="left"/>
          <w:tab w:leader="none" w:pos="43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sativa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Chenopodium ambrosioides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9"/>
          <w:szCs w:val="19"/>
          <w:i w:val="1"/>
          <w:iCs w:val="1"/>
          <w:color w:val="auto"/>
        </w:rPr>
        <w:t>Che-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3580" w:val="left"/>
          <w:tab w:leader="none" w:pos="46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nopodum albumCichorium intybus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Con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i w:val="1"/>
          <w:iCs w:val="1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volvulus orevensisCuminum cyniumCyn-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18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odan dictylan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Daphne mucronata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Delpphinium unciaatumDesmostachya bipinnata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’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center"/>
        <w:ind w:right="-3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’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2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culus indica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4" o:spid="_x0000_s103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75pt" to="493.25pt,3.7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378460</wp:posOffset>
                </wp:positionV>
                <wp:extent cx="6264275" cy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5" o:spid="_x0000_s10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9.8pt" to="493.25pt,29.8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588010</wp:posOffset>
                </wp:positionV>
                <wp:extent cx="6264275" cy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6" o:spid="_x0000_s104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6.3pt" to="493.25pt,46.3pt" o:allowincell="f" strokecolor="#000000" strokeweight="1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Aesculus indica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Ajuga bracteosa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Ajuga niponsis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Allium cepa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Allium sativum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Aloe vera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Amaranthus spinosus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Amarnthus viridis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Arthimesa dubia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Artimisa scoporia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Asparagus glicius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Avena sativa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Barberries lycium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Calotropis procera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Capsicum annum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right"/>
        <w:ind w:right="7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Carthamus oxycantha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Carum carvi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Cedrela serrata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Cedrus deodara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Cenabis sativa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167005</wp:posOffset>
                </wp:positionV>
                <wp:extent cx="6264275" cy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7" o:spid="_x0000_s104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13.15pt" to="493.25pt,13.15pt" o:allowincell="f" strokecolor="#000000" strokeweight="0.5669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5" w:name="page6"/>
    <w:bookmarkEnd w:id="5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18" name="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8" o:spid="_x0000_s104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387985</wp:posOffset>
                </wp:positionV>
                <wp:extent cx="6264275" cy="0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9" o:spid="_x0000_s104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0.55pt" to="493.25pt,30.55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597535</wp:posOffset>
                </wp:positionV>
                <wp:extent cx="6264275" cy="0"/>
                <wp:wrapNone/>
                <wp:docPr id="20" name="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0" o:spid="_x0000_s104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7.05pt" to="493.25pt,47.05pt" o:allowincell="f" strokecolor="#000000" strokeweight="1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Chenopodium ambro-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sioides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Chenopodum album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Cichorium intybus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Convolvulus orevensis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Cuminum cynium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8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f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Cynodan dictylan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Daphne mucronata Royle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Delpphinium unciaatum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Desmostachya bipinnata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Duehesnesa indicia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Euphorbia heliscopa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Ficus carica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Foeniculum vulgare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Fumaria indica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 w:right="1860"/>
        <w:spacing w:after="0" w:line="29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Hyoscyamus niger</w:t>
      </w:r>
      <w:r>
        <w:rPr>
          <w:sz w:val="20"/>
          <w:szCs w:val="20"/>
          <w:color w:val="auto"/>
        </w:rPr>
        <w:t xml:space="preserve"> </w:t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 xml:space="preserve">f </w:t>
      </w: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Jasminum humile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Justscia adhotoda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Mallotus philippensis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Malva neglecta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Melia azedarach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Mentha arvensis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Mentha longifolia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293370</wp:posOffset>
                </wp:positionV>
                <wp:extent cx="6264275" cy="0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1" o:spid="_x0000_s104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3.1pt" to="493.25pt,23.1pt" o:allowincell="f" strokecolor="#000000" strokeweight="0.5669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22" name="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2" o:spid="_x0000_s104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75pt" to="493.25pt,3.7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6264275" cy="0"/>
                <wp:wrapNone/>
                <wp:docPr id="23" name="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3" o:spid="_x0000_s104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9.1pt" to="493.25pt,29.1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578485</wp:posOffset>
                </wp:positionV>
                <wp:extent cx="6264275" cy="0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4" o:spid="_x0000_s104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5.55pt" to="493.25pt,45.55pt" o:allowincell="f" strokecolor="#000000" strokeweight="1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Micromeria biflora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Mirabilis jalapa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Myrisina ofricna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Narcissus tazetta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Nastartium ofcinale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Ocimum basilcum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Olea ferruginea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Oxalis corniculata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Paeonia emodi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Plantago lanceolata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Plectranthus rogosus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Porulaca olaraceae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Primula denticulata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Pronus armeniaca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Punica granatum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Quercus dilatata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Ricinus communis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Rumex dentatus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right"/>
        <w:ind w:right="7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Saliva moorocroftiana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6264275" cy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5" o:spid="_x0000_s105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3.1pt" to="493.25pt,43.1pt" o:allowincell="f" strokecolor="#000000" strokeweight="0.5669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7" w:name="page8"/>
    <w:bookmarkEnd w:id="7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6" o:spid="_x0000_s105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387985</wp:posOffset>
                </wp:positionV>
                <wp:extent cx="6264275" cy="0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7" o:spid="_x0000_s105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0.55pt" to="493.25pt,30.55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597535</wp:posOffset>
                </wp:positionV>
                <wp:extent cx="6264275" cy="0"/>
                <wp:wrapNone/>
                <wp:docPr id="28" name="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8" o:spid="_x0000_s105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7.05pt" to="493.25pt,47.05pt" o:allowincell="f" strokecolor="#000000" strokeweight="1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Solinum nigrum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Sonchus asper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Sonchus oleraceus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Sorgham halense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Spinaceae oleraceae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Tamarix aphyla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Teucrium stocksianum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Tribulus terrestris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Verbascum Thapsus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Verbena ofcinalis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Zanthoxylum armatum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Ziziphus oxiphylla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Ziziphus sativa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186055</wp:posOffset>
                </wp:positionV>
                <wp:extent cx="6264275" cy="0"/>
                <wp:wrapNone/>
                <wp:docPr id="29" name="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9" o:spid="_x0000_s105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14.65pt" to="493.25pt,14.65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bracteosaAjuga niponsis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Allium cepaAllium sativumAloe vera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Amaranthus spinosus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Amarnthus viridisArthimesia dubia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Artimisa scoporiaAsparagus glicius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Avena sativaAvena sativaBarberries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lyceumCalotropis proceraCapsicum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annumCarthamus oxycanthaCarum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carviCedrela serrataCedrus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9"/>
          <w:szCs w:val="19"/>
          <w:i w:val="1"/>
          <w:iCs w:val="1"/>
          <w:color w:val="auto"/>
        </w:rPr>
        <w:t>Ziziphus oxiphylla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deodaraCenabis sativaChenopodium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Ziziphus sativa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ambrosioides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41275</wp:posOffset>
            </wp:positionV>
            <wp:extent cx="6264275" cy="485838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485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cepaAllium sativumAloe vera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Amaranthus spinosusAmarnthus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viridisArthimesa dubiaArtimisa sco-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poriaAsparagus gliciusAvena sativa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8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CCI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Barberris lyciumCalotropis procera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jc w:val="right"/>
        <w:spacing w:after="0"/>
        <w:tabs>
          <w:tab w:leader="none" w:pos="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Capsicum annumCarthamus oxy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i w:val="1"/>
          <w:iCs w:val="1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canthaCarum carviCedrela serrata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Cedrus deodaraCenabis sativa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Chenopodium ambrosioidesCheno-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podum albumCichorium intybusConvol-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tabs>
          <w:tab w:leader="none" w:pos="71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vulus orevensis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Cuminum cyniumCyn-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odan dictylanDaphne mucronata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60"/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bracteosa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Delpphinium unciaatumDesmostachya bipinnata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5080" w:val="left"/>
          <w:tab w:leader="none" w:pos="97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Duehesnesa indiciaEuphor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i w:val="1"/>
          <w:iCs w:val="1"/>
          <w:color w:val="auto"/>
        </w:rPr>
        <w:t>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bia heliscopaFicus caricaFoenicu-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lum vulgareFumaria indica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Hyoscyamus nigerJasminum humile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580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bracteosaAjuga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Justscia adhotodaMallotus philippensis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bracteosaAjuga niponsisAllium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Malva neglectaMelia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9" w:name="page10"/>
    <w:bookmarkEnd w:id="9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1" o:spid="_x0000_s105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6264275" cy="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2" o:spid="_x0000_s10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1.3pt" to="493.25pt,31.3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607060</wp:posOffset>
                </wp:positionV>
                <wp:extent cx="6264275" cy="0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3" o:spid="_x0000_s10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7.8pt" to="493.25pt,47.8pt" o:allowincell="f" strokecolor="#000000" strokeweight="1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Aesculus indica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Ajuga bracteosa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Ajuga niponsis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Allium cepa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Allium sativum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Aloe vera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Amaranthus spinosus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Amarnthus viridis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Arthimesa dubia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Artimisa scoporia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Asparagus glicius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Avena sativa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Barberries lycium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Calotropis procera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Capsicum annum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Carthamus oxycantha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Carum carvi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Cedrela serrata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Cedrus deodara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Cenabis sativa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Chenopodium ambro-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sioides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Chenopodum album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Cichorium intybus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Convolvulus orevensis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Cuminum cynium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Cynodan dictylan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Daphne mucronata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right"/>
        <w:ind w:right="8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Delpphinium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right"/>
        <w:ind w:right="8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unciaatum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Desmostachya bipin-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nata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Duehesnesa indicia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Euphorbia heliscopa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Ficus carica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Foeniculum vulgare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Fumaria indica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Hyoscyamus niger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Jasminum humile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Justscia adhotoda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Mallotus philippensis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Malva neglecta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Melia azedarach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Mentha arvensis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Mentha longifolia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38735</wp:posOffset>
                </wp:positionV>
                <wp:extent cx="6264275" cy="0"/>
                <wp:wrapNone/>
                <wp:docPr id="34" name="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4" o:spid="_x0000_s105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05pt" to="493.25pt,3.05pt" o:allowincell="f" strokecolor="#000000" strokeweight="0.5669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5" o:spid="_x0000_s106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75pt" to="493.25pt,3.7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6264275" cy="0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6" o:spid="_x0000_s106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9.1pt" to="493.25pt,29.1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578485</wp:posOffset>
                </wp:positionV>
                <wp:extent cx="6264275" cy="0"/>
                <wp:wrapNone/>
                <wp:docPr id="37" name="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7" o:spid="_x0000_s106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5.55pt" to="493.25pt,45.55pt" o:allowincell="f" strokecolor="#000000" strokeweight="1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Micromeria biflora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Mirabilis jalapa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Myrisina ofricna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Narcissus tazetta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Nastartium ofcinale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Ocimum basilcum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Olea ferruginea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Oxalis corniculata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Paeonia emodi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Plantago lanceolata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Plectranthus rogosus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Porulaca olaraceae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Primula denticulata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Pronus armeniaca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Punica granatum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Quercus dilatata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Ricinus communis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Rumex dentatus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Saliva moorocroftiana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Solinum nigeum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Sonchus asper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Sonchus oleraceus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Sorgham halense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Spinaceae oleraceae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Tamarix aphyla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Teucrium stocksianum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Tribulus terrestris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Verbascum Thapsus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Verbena ofcinalis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Zanthoxylum armatum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Ziziphus oxiphylla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Ziziphus sativa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57150</wp:posOffset>
                </wp:positionV>
                <wp:extent cx="6264275" cy="0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8" o:spid="_x0000_s106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.5pt" to="493.25pt,4.5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azedarachMentha arvensisMentha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longifoliaMicromeria biflora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jc w:val="center"/>
        <w:ind w:right="-3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I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11" w:name="page12"/>
    <w:bookmarkEnd w:id="11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6264275" cy="52470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524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f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6264275" cy="429577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429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556260</wp:posOffset>
            </wp:positionV>
            <wp:extent cx="6191885" cy="30543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.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3" w:name="page14"/>
    <w:bookmarkEnd w:id="13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6264275" cy="53016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530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6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b w:val="1"/>
                <w:bCs w:val="1"/>
                <w:color w:val="auto"/>
              </w:rPr>
              <w:t>.</w:t>
            </w:r>
          </w:p>
        </w:tc>
        <w:tc>
          <w:tcPr>
            <w:tcW w:w="2900" w:type="dxa"/>
            <w:vAlign w:val="bottom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’</w:t>
            </w:r>
          </w:p>
        </w:tc>
        <w:tc>
          <w:tcPr>
            <w:tcW w:w="54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41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20" w:type="dxa"/>
            <w:vAlign w:val="bottom"/>
          </w:tcPr>
          <w:p>
            <w:pPr>
              <w:ind w:left="1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Aesculus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5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9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420" w:type="dxa"/>
            <w:vAlign w:val="bottom"/>
          </w:tcPr>
          <w:p>
            <w:pPr>
              <w:ind w:left="1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indicaAjuga bracteosa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5"/>
        </w:trPr>
        <w:tc>
          <w:tcPr>
            <w:tcW w:w="314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Conclusion</w:t>
            </w:r>
          </w:p>
        </w:tc>
        <w:tc>
          <w:tcPr>
            <w:tcW w:w="5420" w:type="dxa"/>
            <w:vAlign w:val="bottom"/>
          </w:tcPr>
          <w:p>
            <w:pPr>
              <w:ind w:left="1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</w:rPr>
              <w:t>Aesculus indica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31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420" w:type="dxa"/>
            <w:vAlign w:val="bottom"/>
          </w:tcPr>
          <w:p>
            <w:pPr>
              <w:ind w:left="4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i w:val="1"/>
                <w:iCs w:val="1"/>
                <w:color w:val="auto"/>
                <w:w w:val="97"/>
              </w:rPr>
              <w:t>Ajuga bracteosa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niponsisAllium cepa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indicaAjuga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bracteosa.Aesculus indica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brac-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teosa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73660</wp:posOffset>
                </wp:positionV>
                <wp:extent cx="6264275" cy="0"/>
                <wp:wrapNone/>
                <wp:docPr id="43" name="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" o:spid="_x0000_s106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8pt" to="493.25pt,5.8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405130</wp:posOffset>
                </wp:positionV>
                <wp:extent cx="3023870" cy="0"/>
                <wp:wrapNone/>
                <wp:docPr id="44" name="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38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4" o:spid="_x0000_s106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1.9pt" to="238.1pt,31.9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868045</wp:posOffset>
                </wp:positionV>
                <wp:extent cx="3023870" cy="0"/>
                <wp:wrapNone/>
                <wp:docPr id="45" name="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38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5" o:spid="_x0000_s107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8.35pt" to="238.1pt,68.35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395605</wp:posOffset>
                </wp:positionV>
                <wp:extent cx="3024505" cy="0"/>
                <wp:wrapNone/>
                <wp:docPr id="46" name="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6" o:spid="_x0000_s107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55.1pt,31.15pt" to="493.25pt,31.15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858520</wp:posOffset>
                </wp:positionV>
                <wp:extent cx="3024505" cy="0"/>
                <wp:wrapNone/>
                <wp:docPr id="47" name="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7" o:spid="_x0000_s107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55.1pt,67.6pt" to="493.25pt,67.6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1400175</wp:posOffset>
                </wp:positionV>
                <wp:extent cx="3024505" cy="0"/>
                <wp:wrapNone/>
                <wp:docPr id="48" name="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8" o:spid="_x0000_s107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55.1pt,110.25pt" to="493.25pt,110.25pt" o:allowincell="f" strokecolor="#000000" strokeweight="0.5669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4316095</wp:posOffset>
                </wp:positionV>
                <wp:extent cx="3023870" cy="0"/>
                <wp:wrapNone/>
                <wp:docPr id="49" name="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38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9" o:spid="_x0000_s107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39.85pt" to="238.1pt,339.85pt" o:allowincell="f" strokecolor="#000000" strokeweight="0.5669pt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Ajuga bracteosa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Aesculus indica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ind w:righ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b w:val="1"/>
          <w:bCs w:val="1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jc w:val="center"/>
        <w:ind w:right="4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b w:val="1"/>
          <w:bCs w:val="1"/>
          <w:color w:val="auto"/>
        </w:rPr>
        <w:t>A’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center"/>
        <w:ind w:righ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b w:val="1"/>
          <w:bCs w:val="1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>Compliance with ethical standards 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jc w:val="center"/>
        <w:ind w:right="4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b w:val="1"/>
          <w:bCs w:val="1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4380" w:space="720"/>
            <w:col w:w="47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5" w:name="page16"/>
    <w:bookmarkEnd w:id="15"/>
    <w:p>
      <w:pPr>
        <w:spacing w:after="0"/>
        <w:tabs>
          <w:tab w:leader="none" w:pos="8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N. Muhammad et al.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50" name="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0" o:spid="_x0000_s107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References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4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Trachyspermum ammi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5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Ipomoea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5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Punica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5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Ziziphus</w:t>
      </w: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Thymus vulgaris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Helicobacter pylori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Ficus carica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Anethum graveoleusMentha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piperitaPinus sylvestris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Drosophila melanogaster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T,…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73660</wp:posOffset>
                </wp:positionV>
                <wp:extent cx="6264275" cy="0"/>
                <wp:wrapNone/>
                <wp:docPr id="51" name="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1" o:spid="_x0000_s107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8pt" to="493.25pt,5.8pt" o:allowincell="f" strokecolor="#000000" strokeweight="0.992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jc w:val="center"/>
        <w:ind w:right="-47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b w:val="1"/>
          <w:bCs w:val="1"/>
          <w:color w:val="auto"/>
        </w:rPr>
        <w:t>P’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sectPr>
      <w:pgSz w:w="11900" w:h="15817" w:orient="portrait"/>
      <w:cols w:equalWidth="0" w:num="1">
        <w:col w:w="9860"/>
      </w:cols>
      <w:pgMar w:left="1020" w:top="635" w:right="1026" w:bottom="213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1"/>
    <w:family w:val="swiss"/>
    <w:pitch w:val="variable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jpe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2020-09-15T04:08:16Z</dcterms:created>
  <dcterms:modified xsi:type="dcterms:W3CDTF">2020-09-15T04:08:16Z</dcterms:modified>
</cp:coreProperties>
</file>